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ЛЕКЦИЯ 11. ФУНКЦИЯ НОРМАЛЬНОГО РАСПРЕДЕЛЕНИЯ И ЕЕ ПАРАМЕТРЫ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Распределение случайных величин в биологических, в том числе и лесных, совокупностях носит закономерный характер. Есть много функций, которыми описывают названные распределения. Наиболее универсальной и используемой чаще других является уравнение кривой нормального распределения или функция Гаусса-</w:t>
      </w:r>
      <w:proofErr w:type="spellStart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Лапласса</w:t>
      </w:r>
      <w:proofErr w:type="spellEnd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. Ее суть заключается в том, что частота отклонения отдельных вариант от средней арифметической данной совокупности есть функция их величины.  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Графически функция нормального распределения схожа с графиками на рисунках 6.1. и 6.2. В то же время график, который строго соответствует уравнению кривой нормального распределения, выглядит следующим образом (рисунок 6.3.).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E77E81" w:rsidRPr="00E77E81" w:rsidRDefault="00E77E81" w:rsidP="00E77E81">
      <w:pPr>
        <w:framePr w:h="2309" w:hSpace="38" w:wrap="notBeside" w:vAnchor="text" w:hAnchor="margin" w:x="399" w:y="1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7E81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2151A81A" wp14:editId="54AAB3E1">
            <wp:extent cx="5354320" cy="1574165"/>
            <wp:effectExtent l="0" t="0" r="0" b="6985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4320" cy="157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Рисунок 6.3 Кривая нормального распределения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Уравнение кривой нормального распределения выражает зависимость теоретических численностей </w:t>
      </w:r>
      <w:r w:rsidRPr="00E77E81">
        <w:rPr>
          <w:rFonts w:ascii="Times New Roman" w:eastAsia="Times New Roman" w:hAnsi="Times New Roman"/>
          <w:sz w:val="28"/>
          <w:szCs w:val="20"/>
          <w:lang w:val="en-US" w:eastAsia="ru-RU"/>
        </w:rPr>
        <w:t>f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(</w:t>
      </w:r>
      <w:r w:rsidRPr="00E77E81">
        <w:rPr>
          <w:rFonts w:ascii="Times New Roman" w:eastAsia="Times New Roman" w:hAnsi="Times New Roman"/>
          <w:sz w:val="28"/>
          <w:szCs w:val="20"/>
          <w:lang w:val="en-US" w:eastAsia="ru-RU"/>
        </w:rPr>
        <w:t>x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) или </w:t>
      </w:r>
      <w:r w:rsidRPr="00E77E81">
        <w:rPr>
          <w:rFonts w:ascii="Times New Roman" w:eastAsia="Times New Roman" w:hAnsi="Times New Roman"/>
          <w:sz w:val="28"/>
          <w:szCs w:val="20"/>
          <w:lang w:val="en-US" w:eastAsia="ru-RU"/>
        </w:rPr>
        <w:t>y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от значений </w:t>
      </w:r>
      <w:r w:rsidRPr="00E77E81">
        <w:rPr>
          <w:rFonts w:ascii="Times New Roman" w:eastAsia="Times New Roman" w:hAnsi="Times New Roman"/>
          <w:sz w:val="28"/>
          <w:szCs w:val="20"/>
          <w:lang w:val="en-US" w:eastAsia="ru-RU"/>
        </w:rPr>
        <w:t>x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, являющейся непрерывно распределяющейся случайной величиной. Есть разные формы выражения этой кривой. Основная форма написания этого выражения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                           </w:t>
      </w:r>
      <w:r w:rsidRPr="00E77E81">
        <w:rPr>
          <w:rFonts w:ascii="Times New Roman" w:eastAsia="Times New Roman" w:hAnsi="Times New Roman"/>
          <w:position w:val="-28"/>
          <w:sz w:val="28"/>
          <w:szCs w:val="20"/>
          <w:lang w:eastAsia="ru-RU"/>
        </w:rPr>
        <w:object w:dxaOrig="3756" w:dyaOrig="130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7.4pt;height:65.55pt" o:ole="">
            <v:imagedata r:id="rId9" o:title=""/>
          </v:shape>
          <o:OLEObject Type="Embed" ProgID="Equation.3" ShapeID="_x0000_i1025" DrawAspect="Content" ObjectID="_1646900664" r:id="rId10"/>
        </w:objec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                (6.1)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Здесь </w:t>
      </w:r>
      <w:r w:rsidRPr="00E77E81">
        <w:rPr>
          <w:rFonts w:ascii="Times New Roman" w:eastAsia="Times New Roman" w:hAnsi="Times New Roman"/>
          <w:sz w:val="28"/>
          <w:szCs w:val="20"/>
          <w:lang w:val="en-US" w:eastAsia="ru-RU"/>
        </w:rPr>
        <w:t>y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– ордината или высота кривой на любом расстоянии от </w:t>
      </w:r>
      <w:r w:rsidRPr="00E77E81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276" w:dyaOrig="324">
          <v:shape id="_x0000_i1026" type="#_x0000_t75" style="width:13.85pt;height:16.6pt" o:ole="">
            <v:imagedata r:id="rId11" o:title=""/>
          </v:shape>
          <o:OLEObject Type="Embed" ProgID="Equation.3" ShapeID="_x0000_i1026" DrawAspect="Content" ObjectID="_1646900665" r:id="rId12"/>
        </w:objec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, т. е. центра распределения. Вправо от этого центра случайная величина х</w:t>
      </w:r>
      <w:proofErr w:type="spellStart"/>
      <w:proofErr w:type="gramStart"/>
      <w:r w:rsidRPr="00E77E81">
        <w:rPr>
          <w:rFonts w:ascii="Times New Roman" w:eastAsia="Times New Roman" w:hAnsi="Times New Roman"/>
          <w:sz w:val="28"/>
          <w:szCs w:val="20"/>
          <w:vertAlign w:val="subscript"/>
          <w:lang w:val="en-US" w:eastAsia="ru-RU"/>
        </w:rPr>
        <w:t>i</w:t>
      </w:r>
      <w:proofErr w:type="spellEnd"/>
      <w:proofErr w:type="gramEnd"/>
      <w:r w:rsidRPr="00E77E81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 xml:space="preserve"> 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имеет положительные, а влево – отрицательные значения.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σ </w:t>
      </w:r>
      <w:proofErr w:type="gramStart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и</w:t>
      </w:r>
      <w:proofErr w:type="gramEnd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ли среднеквадратическое отклонение характеризует амплитуду колебания отдельных значений случайной величины около средней арифметической;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(</w:t>
      </w:r>
      <w:r w:rsidRPr="00E77E81">
        <w:rPr>
          <w:rFonts w:ascii="Times New Roman" w:eastAsia="Times New Roman" w:hAnsi="Times New Roman"/>
          <w:position w:val="-8"/>
          <w:sz w:val="28"/>
          <w:szCs w:val="20"/>
          <w:lang w:eastAsia="ru-RU"/>
        </w:rPr>
        <w:object w:dxaOrig="720" w:dyaOrig="456">
          <v:shape id="_x0000_i1027" type="#_x0000_t75" style="width:36pt;height:23.1pt" o:ole="">
            <v:imagedata r:id="rId13" o:title=""/>
          </v:shape>
          <o:OLEObject Type="Embed" ProgID="Equation.2" ShapeID="_x0000_i1027" DrawAspect="Content" ObjectID="_1646900666" r:id="rId14"/>
        </w:objec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) - отклонение варианты </w:t>
      </w:r>
      <w:proofErr w:type="gramStart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от</w:t>
      </w:r>
      <w:proofErr w:type="gramEnd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</w:t>
      </w:r>
      <w:proofErr w:type="gramStart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средней</w:t>
      </w:r>
      <w:proofErr w:type="gramEnd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арифметической, являющейся серединой ряда;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lastRenderedPageBreak/>
        <w:t xml:space="preserve">выражение </w:t>
      </w:r>
      <w:r w:rsidRPr="00E77E81">
        <w:rPr>
          <w:rFonts w:ascii="Times New Roman" w:eastAsia="Times New Roman" w:hAnsi="Times New Roman"/>
          <w:position w:val="-28"/>
          <w:sz w:val="28"/>
          <w:szCs w:val="20"/>
          <w:lang w:eastAsia="ru-RU"/>
        </w:rPr>
        <w:object w:dxaOrig="900" w:dyaOrig="780">
          <v:shape id="_x0000_i1028" type="#_x0000_t75" style="width:45.25pt;height:39.7pt" o:ole="">
            <v:imagedata r:id="rId15" o:title=""/>
          </v:shape>
          <o:OLEObject Type="Embed" ProgID="Equation.2" ShapeID="_x0000_i1028" DrawAspect="Content" ObjectID="_1646900667" r:id="rId16"/>
        </w:objec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- максимальная ордината, соответствующая точке </w:t>
      </w:r>
      <w:r w:rsidRPr="00E77E81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276" w:dyaOrig="324">
          <v:shape id="_x0000_i1029" type="#_x0000_t75" style="width:13.85pt;height:16.6pt" o:ole="">
            <v:imagedata r:id="rId17" o:title=""/>
          </v:shape>
          <o:OLEObject Type="Embed" ProgID="Equation.2" ShapeID="_x0000_i1029" DrawAspect="Content" ObjectID="_1646900668" r:id="rId18"/>
        </w:objec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. 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По мере удаления от этой точки, т.е. центра распределения, плотность значений случайной величины </w:t>
      </w:r>
      <w:proofErr w:type="gramStart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падает</w:t>
      </w:r>
      <w:proofErr w:type="gramEnd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и кривая асимптотически приближается к оси абсцисс;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Так как π – 3,14593 и </w:t>
      </w:r>
      <w:r w:rsidRPr="00E77E81">
        <w:rPr>
          <w:rFonts w:ascii="Times New Roman" w:eastAsia="Times New Roman" w:hAnsi="Times New Roman"/>
          <w:i/>
          <w:sz w:val="36"/>
          <w:szCs w:val="36"/>
          <w:lang w:val="en-US" w:eastAsia="ru-RU"/>
        </w:rPr>
        <w:t>e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– основание натуральных логарифмов, равное 2,7183, являются постоянными величинами, </w:t>
      </w:r>
      <w:proofErr w:type="gramStart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следовательно</w:t>
      </w:r>
      <w:proofErr w:type="gramEnd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величина </w:t>
      </w:r>
      <w:r w:rsidRPr="00E77E81">
        <w:rPr>
          <w:rFonts w:ascii="Times New Roman" w:eastAsia="Times New Roman" w:hAnsi="Times New Roman"/>
          <w:position w:val="-14"/>
          <w:sz w:val="40"/>
          <w:szCs w:val="20"/>
          <w:lang w:eastAsia="ru-RU"/>
        </w:rPr>
        <w:object w:dxaOrig="1560" w:dyaOrig="924">
          <v:shape id="_x0000_i1030" type="#_x0000_t75" style="width:77.55pt;height:46.15pt" o:ole="">
            <v:imagedata r:id="rId19" o:title=""/>
          </v:shape>
          <o:OLEObject Type="Embed" ProgID="Equation.2" ShapeID="_x0000_i1030" DrawAspect="Content" ObjectID="_1646900669" r:id="rId20"/>
        </w:object>
      </w:r>
      <w:r w:rsidRPr="00E77E81">
        <w:rPr>
          <w:rFonts w:ascii="Times New Roman" w:eastAsia="Times New Roman" w:hAnsi="Times New Roman"/>
          <w:sz w:val="40"/>
          <w:szCs w:val="20"/>
          <w:lang w:eastAsia="ru-RU"/>
        </w:rPr>
        <w:t xml:space="preserve"> 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есть не что иное как нормированное отклонение. Эта величина имеет большое значение для исследования свойств нормального распределения.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Найденные для различных значений </w:t>
      </w:r>
      <w:r w:rsidRPr="00E77E81">
        <w:rPr>
          <w:rFonts w:ascii="Times New Roman" w:eastAsia="Times New Roman" w:hAnsi="Times New Roman"/>
          <w:i/>
          <w:sz w:val="28"/>
          <w:szCs w:val="20"/>
          <w:lang w:eastAsia="ru-RU"/>
        </w:rPr>
        <w:t>t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величины</w:t>
      </w:r>
      <w:proofErr w:type="gramStart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</w:t>
      </w:r>
      <w:r w:rsidRPr="00E77E81">
        <w:rPr>
          <w:rFonts w:ascii="Times New Roman" w:eastAsia="Times New Roman" w:hAnsi="Times New Roman"/>
          <w:i/>
          <w:sz w:val="28"/>
          <w:szCs w:val="20"/>
          <w:lang w:eastAsia="ru-RU"/>
        </w:rPr>
        <w:t>У</w:t>
      </w:r>
      <w:proofErr w:type="gramEnd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дают ординаты нормальной кривой. Непременным условием нормирования служит требование, чтобы вся площадь, заключенная под кривой вероятности (нормальной кривой), равнялась единице.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Если принять </w:t>
      </w:r>
      <w:r w:rsidRPr="00E77E81">
        <w:rPr>
          <w:rFonts w:ascii="Times New Roman" w:eastAsia="Times New Roman" w:hAnsi="Times New Roman"/>
          <w:sz w:val="36"/>
          <w:szCs w:val="20"/>
          <w:lang w:eastAsia="ru-RU"/>
        </w:rPr>
        <w:sym w:font="Symbol" w:char="F073"/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=1, то уравнение (6.1) будет иметь следующий вид: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   </w:t>
      </w:r>
      <w:r w:rsidRPr="00E77E81">
        <w:rPr>
          <w:rFonts w:ascii="Times New Roman" w:eastAsia="Times New Roman" w:hAnsi="Times New Roman"/>
          <w:position w:val="-28"/>
          <w:sz w:val="28"/>
          <w:szCs w:val="20"/>
          <w:lang w:eastAsia="ru-RU"/>
        </w:rPr>
        <w:object w:dxaOrig="3456" w:dyaOrig="1116">
          <v:shape id="_x0000_i1031" type="#_x0000_t75" style="width:172.6pt;height:55.4pt" o:ole="">
            <v:imagedata r:id="rId21" o:title=""/>
          </v:shape>
          <o:OLEObject Type="Embed" ProgID="Equation.3" ShapeID="_x0000_i1031" DrawAspect="Content" ObjectID="_1646900670" r:id="rId22"/>
        </w:objec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ab/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ab/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ab/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ab/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ab/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ab/>
        <w:t xml:space="preserve">  (6.2)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Кривая, описываемая этим уравнением, получила название стандартизованной кривой распределения, или кривой Гаусса-Лапласа. Она выражает закон нормального распределения с площадью под кривой, равной единице.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Чтобы ордината</w:t>
      </w:r>
      <w:proofErr w:type="gramStart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</w:t>
      </w:r>
      <w:r w:rsidRPr="00E77E81">
        <w:rPr>
          <w:rFonts w:ascii="Times New Roman" w:eastAsia="Times New Roman" w:hAnsi="Times New Roman"/>
          <w:i/>
          <w:sz w:val="28"/>
          <w:szCs w:val="20"/>
          <w:lang w:eastAsia="ru-RU"/>
        </w:rPr>
        <w:t>У</w:t>
      </w:r>
      <w:proofErr w:type="gramEnd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выражала не вероятностные, а абсолютные численности, т.е. частоты вариант, нужно в числитель правой части уравнения (6.1) ввести в качестве дополнительных множителей </w:t>
      </w:r>
      <w:r w:rsidRPr="00E77E81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- общее число вариант данной совокупности и i - величину классового интервала (если вариация разбита на классы).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Тогда уравнение (6.1.) принимает следующий вид: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</w:t>
      </w:r>
      <w:r w:rsidRPr="00E77E81">
        <w:rPr>
          <w:rFonts w:ascii="Times New Roman" w:eastAsia="Times New Roman" w:hAnsi="Times New Roman"/>
          <w:position w:val="-28"/>
          <w:sz w:val="28"/>
          <w:szCs w:val="20"/>
          <w:lang w:eastAsia="ru-RU"/>
        </w:rPr>
        <w:object w:dxaOrig="3012" w:dyaOrig="1068">
          <v:shape id="_x0000_i1032" type="#_x0000_t75" style="width:150.45pt;height:53.55pt" o:ole="">
            <v:imagedata r:id="rId23" o:title=""/>
          </v:shape>
          <o:OLEObject Type="Embed" ProgID="Equation.3" ShapeID="_x0000_i1032" DrawAspect="Content" ObjectID="_1646900671" r:id="rId24"/>
        </w:objec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   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ab/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ab/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ab/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ab/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ab/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ab/>
        <w:t xml:space="preserve">   (6.3)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bookmarkStart w:id="0" w:name="_GoBack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Здесь</w:t>
      </w:r>
      <w:proofErr w:type="gramStart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У</w:t>
      </w:r>
      <w:proofErr w:type="gramEnd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обозначает теоретическую частоту вариационного ряда, соответствующую нормированному отклонению t.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Кривая нормального распределения обладает следующими свойствами:</w:t>
      </w:r>
    </w:p>
    <w:p w:rsidR="00E77E81" w:rsidRPr="00E77E81" w:rsidRDefault="00E77E81" w:rsidP="00E77E81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Однозначно определяется двумя параметрами: </w:t>
      </w:r>
      <w:r w:rsidRPr="00E77E81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276" w:dyaOrig="324">
          <v:shape id="_x0000_i1033" type="#_x0000_t75" style="width:13.85pt;height:16.6pt" o:ole="">
            <v:imagedata r:id="rId17" o:title=""/>
          </v:shape>
          <o:OLEObject Type="Embed" ProgID="Equation.2" ShapeID="_x0000_i1033" DrawAspect="Content" ObjectID="_1646900672" r:id="rId25"/>
        </w:objec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- средним значением и σ – среднеквадратическим отклонением.</w:t>
      </w:r>
    </w:p>
    <w:p w:rsidR="00E77E81" w:rsidRPr="00E77E81" w:rsidRDefault="00E77E81" w:rsidP="00E77E81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Кривая симметрична относительно среднего значения</w:t>
      </w:r>
      <w:proofErr w:type="gramStart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(</w:t>
      </w:r>
      <w:r w:rsidRPr="00E77E81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276" w:dyaOrig="324">
          <v:shape id="_x0000_i1034" type="#_x0000_t75" style="width:13.85pt;height:16.6pt" o:ole="">
            <v:imagedata r:id="rId17" o:title=""/>
          </v:shape>
          <o:OLEObject Type="Embed" ProgID="Equation.2" ShapeID="_x0000_i1034" DrawAspect="Content" ObjectID="_1646900673" r:id="rId26"/>
        </w:objec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) </w:t>
      </w:r>
      <w:proofErr w:type="gramEnd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и имеет колоколообразную форму, которая зависит от величины σ, являющейся параметром масштаба, а положение определяется </w:t>
      </w:r>
      <w:r w:rsidRPr="00E77E81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276" w:dyaOrig="324">
          <v:shape id="_x0000_i1035" type="#_x0000_t75" style="width:13.85pt;height:16.6pt" o:ole="">
            <v:imagedata r:id="rId17" o:title=""/>
          </v:shape>
          <o:OLEObject Type="Embed" ProgID="Equation.2" ShapeID="_x0000_i1035" DrawAspect="Content" ObjectID="_1646900674" r:id="rId27"/>
        </w:objec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.</w:t>
      </w:r>
    </w:p>
    <w:p w:rsidR="00E77E81" w:rsidRPr="00E77E81" w:rsidRDefault="00E77E81" w:rsidP="00E77E81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lastRenderedPageBreak/>
        <w:t xml:space="preserve"> Кривая имеет один максимум, равный </w:t>
      </w:r>
      <w:r w:rsidRPr="00E77E81">
        <w:rPr>
          <w:rFonts w:ascii="Times New Roman" w:eastAsia="Times New Roman" w:hAnsi="Times New Roman"/>
          <w:position w:val="-28"/>
          <w:sz w:val="28"/>
          <w:szCs w:val="20"/>
          <w:lang w:eastAsia="ru-RU"/>
        </w:rPr>
        <w:object w:dxaOrig="744" w:dyaOrig="660">
          <v:shape id="_x0000_i1036" type="#_x0000_t75" style="width:36.9pt;height:32.3pt" o:ole="">
            <v:imagedata r:id="rId28" o:title=""/>
          </v:shape>
          <o:OLEObject Type="Embed" ProgID="Equation.3" ShapeID="_x0000_i1036" DrawAspect="Content" ObjectID="_1646900675" r:id="rId29"/>
        </w:objec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и две точки перегиба на расстоянии ±σ </w:t>
      </w:r>
      <w:proofErr w:type="gramStart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от</w:t>
      </w:r>
      <w:proofErr w:type="gramEnd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</w:t>
      </w:r>
      <w:r w:rsidRPr="00E77E81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276" w:dyaOrig="324">
          <v:shape id="_x0000_i1037" type="#_x0000_t75" style="width:13.85pt;height:16.6pt" o:ole="">
            <v:imagedata r:id="rId17" o:title=""/>
          </v:shape>
          <o:OLEObject Type="Embed" ProgID="Equation.2" ShapeID="_x0000_i1037" DrawAspect="Content" ObjectID="_1646900676" r:id="rId30"/>
        </w:objec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.</w:t>
      </w:r>
    </w:p>
    <w:p w:rsidR="00E77E81" w:rsidRPr="00E77E81" w:rsidRDefault="00E77E81" w:rsidP="00E77E81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Ветви кривой асимптотически приближаются к оси абсцисс на расстояние ±∞.</w:t>
      </w:r>
    </w:p>
    <w:bookmarkEnd w:id="0"/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Итак, нормальный закон распределения выражает функциональную зависимость между величиной признака и его частотой в генеральной совокупности. Чем больше отклонение варианты от средней величины, тем меньше ее частота, и наоборот, чем меньше варианта отклоняется от средней арифметической, тем больше ее частота в данной совокупности. Следовательно, вероятность отклонения любой варианты </w:t>
      </w:r>
      <w:proofErr w:type="gramStart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от</w:t>
      </w:r>
      <w:proofErr w:type="gramEnd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</w:t>
      </w:r>
      <w:proofErr w:type="gramStart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средней</w:t>
      </w:r>
      <w:proofErr w:type="gramEnd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арифметической есть функция нормированного отклонения. Эта функция выражается с помощью асимптотических, т.е. приближенных формул (6.1), а также графически (см. рисунок 6.3) и в форме таблиц. 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Нормальное распределение является широко распространенной закономерностью в живой природе, в том числе и в лесных насаждениях. 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Для наглядного выяснения </w:t>
      </w:r>
      <w:proofErr w:type="gramStart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тех условий</w:t>
      </w:r>
      <w:proofErr w:type="gramEnd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, при которых возникает нормальное распределение, построен прибор </w:t>
      </w:r>
      <w:proofErr w:type="spellStart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Гальтона</w:t>
      </w:r>
      <w:proofErr w:type="spellEnd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. Этот прибор представляет ящик, изображенный на рисунке 6.4. Вверху прибора устроено отверстие в виде воронки, которое ведет в узкое пространство между доской и стеклом. Внизу прибора помещены перегородки, образующие несколько отделений. Все пространство между воронкой и отделениями занято рядами игл, расставленных в шахматном порядке. Если прибор поставить в наклонном положении и сыпать в воронку мелкую дробь, то иглы будут делить эту дробь на отдельные потоки. Вследствие этого дробинки расположатся не равномерно, а образуют в своей совокупности нормальную кривую.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Рассматриваемый прибор ясно показывает то действие, которое оказывает множественность причин на возникновение явления. В самом деле, при отсутствии и</w:t>
      </w:r>
      <w:proofErr w:type="gramStart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гл в пр</w:t>
      </w:r>
      <w:proofErr w:type="gramEnd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иборе весь поток дроби шел бы без отклонений вниз, и в результате дробь скопилась бы между двумя — тремя соседними вертикальными полосками против отверстия воронки. </w:t>
      </w:r>
      <w:proofErr w:type="gramStart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Однако препятствия в виде игл отклоняют дробинки в разные стороны, причем для большей части дробинок эти отклонения взаимно уравновешиваются и все распределение принимает характерный вид: в отделении против воронки скопляется наибольшее количество дроби, а в остальных отделениях будет дроби тем меньше, чем дальше они отстоят от среднего отделения, т. к чтобы отклониться от него далеко, необходимо встретить много односторонних препятствий</w:t>
      </w:r>
      <w:proofErr w:type="gramEnd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, а это случается только с небольшим числом дробинок.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7E81">
        <w:rPr>
          <w:rFonts w:ascii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3C38EB0" wp14:editId="7045C881">
            <wp:extent cx="2488565" cy="3874135"/>
            <wp:effectExtent l="0" t="0" r="6985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565" cy="3874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Рисунок 6.4 Прибор </w:t>
      </w:r>
      <w:proofErr w:type="spellStart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Гальтона</w:t>
      </w:r>
      <w:proofErr w:type="spellEnd"/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Картина распределения, подобная описанной выше, наблюдается при изучении случайных величин, взятых из любой области.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Проанализируем действие этого закона в лесу. Так, на древостой, растущий без вмешательства человека, действует множество абиотических и биотических факторов. Ресурсы роста дерева определяются наследственными свойствами конкретного семени, места, где оно произрастает (условия произрастания имеют определенную неоднородность даже в пределах одного таксационного участка), соседними деревьями, случайными повреждениями (снегом, животными, молнией и т.д.) и многими другими причинами. Каждая из причин носит случайный </w:t>
      </w:r>
      <w:proofErr w:type="gramStart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характер</w:t>
      </w:r>
      <w:proofErr w:type="gramEnd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и ее влияние на их совокупный результат приводит к нормальному распределению. Здесь мы исключаем антропогенный фактор, особенно рубки ухода, воздействие которых велико и целенаправленно, что имеет следствием другие распределения диаметров деревьев, о чем будет сказано ниже.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Нормальное распределение можем наблюдать, если проанализируем отклонение длины реальных сортиментов, заготовленных в лесу, от заданной их длины. Например, мы выпиливаем еловые пиловочные бревна длиной 6,5м. По действующему стандарту здесь допустимо отклонение в большую сторону (припуск) до 1%. В нашем случае это составит </w:t>
      </w:r>
      <w:smartTag w:uri="urn:schemas-microsoft-com:office:smarttags" w:element="metricconverter">
        <w:smartTagPr>
          <w:attr w:name="ProductID" w:val="6,5 см"/>
        </w:smartTagPr>
        <w:r w:rsidRPr="00E77E81">
          <w:rPr>
            <w:rFonts w:ascii="Times New Roman" w:eastAsia="Times New Roman" w:hAnsi="Times New Roman"/>
            <w:sz w:val="28"/>
            <w:szCs w:val="20"/>
            <w:lang w:eastAsia="ru-RU"/>
          </w:rPr>
          <w:t>6,5 см</w:t>
        </w:r>
      </w:smartTag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. </w:t>
      </w:r>
      <w:proofErr w:type="gramStart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При</w:t>
      </w:r>
      <w:proofErr w:type="gramEnd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реальной </w:t>
      </w:r>
      <w:proofErr w:type="spellStart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раскрижевке</w:t>
      </w:r>
      <w:proofErr w:type="spellEnd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из-за разных случайных причин припуски получаются неодинаковой длины. Средний припуск здесь будет отклоняться от средней величины (примерно </w:t>
      </w:r>
      <w:smartTag w:uri="urn:schemas-microsoft-com:office:smarttags" w:element="metricconverter">
        <w:smartTagPr>
          <w:attr w:name="ProductID" w:val="4 см"/>
        </w:smartTagPr>
        <w:r w:rsidRPr="00E77E81">
          <w:rPr>
            <w:rFonts w:ascii="Times New Roman" w:eastAsia="Times New Roman" w:hAnsi="Times New Roman"/>
            <w:sz w:val="28"/>
            <w:szCs w:val="20"/>
            <w:lang w:eastAsia="ru-RU"/>
          </w:rPr>
          <w:t>4 см</w:t>
        </w:r>
      </w:smartTag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) на ± </w:t>
      </w:r>
      <w:smartTag w:uri="urn:schemas-microsoft-com:office:smarttags" w:element="metricconverter">
        <w:smartTagPr>
          <w:attr w:name="ProductID" w:val="3 см"/>
        </w:smartTagPr>
        <w:r w:rsidRPr="00E77E81">
          <w:rPr>
            <w:rFonts w:ascii="Times New Roman" w:eastAsia="Times New Roman" w:hAnsi="Times New Roman"/>
            <w:sz w:val="28"/>
            <w:szCs w:val="20"/>
            <w:lang w:eastAsia="ru-RU"/>
          </w:rPr>
          <w:t>3 см</w:t>
        </w:r>
      </w:smartTag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, а весь массив чисел, характеризующих отклонения от </w:t>
      </w:r>
      <w:smartTag w:uri="urn:schemas-microsoft-com:office:smarttags" w:element="metricconverter">
        <w:smartTagPr>
          <w:attr w:name="ProductID" w:val="6,5 см"/>
        </w:smartTagPr>
        <w:r w:rsidRPr="00E77E81">
          <w:rPr>
            <w:rFonts w:ascii="Times New Roman" w:eastAsia="Times New Roman" w:hAnsi="Times New Roman"/>
            <w:sz w:val="28"/>
            <w:szCs w:val="20"/>
            <w:lang w:eastAsia="ru-RU"/>
          </w:rPr>
          <w:t>6,5 см</w:t>
        </w:r>
      </w:smartTag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будет распределен нормально.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b/>
          <w:sz w:val="28"/>
          <w:szCs w:val="20"/>
          <w:lang w:eastAsia="ru-RU"/>
        </w:rPr>
        <w:lastRenderedPageBreak/>
        <w:t>Основные свойства нормального распределения.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Теоретически случайная величина Х, распределенная по нормальному закону, может принимать любые значения, меняясь от - 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sym w:font="Symbol" w:char="F0A5"/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до +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sym w:font="Symbol" w:char="F0A5"/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. На самом же деле, как это видно из графика нормальной кривой (см. рисунок 6.3), значения вероятности по мере удаления от центра распределения </w:t>
      </w:r>
      <w:r w:rsidRPr="00E77E81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276" w:dyaOrig="456">
          <v:shape id="_x0000_i1038" type="#_x0000_t75" style="width:13.85pt;height:23.1pt" o:ole="">
            <v:imagedata r:id="rId32" o:title=""/>
          </v:shape>
          <o:OLEObject Type="Embed" ProgID="Equation.2" ShapeID="_x0000_i1038" DrawAspect="Content" ObjectID="_1646900677" r:id="rId33"/>
        </w:objec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быстро убывают.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Если в обе стороны </w:t>
      </w:r>
      <w:proofErr w:type="gramStart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от </w:t>
      </w:r>
      <w:r w:rsidRPr="00E77E81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276" w:dyaOrig="456">
          <v:shape id="_x0000_i1039" type="#_x0000_t75" style="width:13.85pt;height:23.1pt" o:ole="">
            <v:imagedata r:id="rId32" o:title=""/>
          </v:shape>
          <o:OLEObject Type="Embed" ProgID="Equation.2" ShapeID="_x0000_i1039" DrawAspect="Content" ObjectID="_1646900678" r:id="rId34"/>
        </w:objec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отложить</w:t>
      </w:r>
      <w:proofErr w:type="gramEnd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отрезки, равные 3</w:t>
      </w:r>
      <w:r w:rsidRPr="00E77E81">
        <w:rPr>
          <w:rFonts w:ascii="Times New Roman" w:eastAsia="Times New Roman" w:hAnsi="Times New Roman"/>
          <w:sz w:val="36"/>
          <w:szCs w:val="20"/>
          <w:lang w:eastAsia="ru-RU"/>
        </w:rPr>
        <w:sym w:font="Symbol" w:char="F073"/>
      </w:r>
      <w:r w:rsidRPr="00E77E81">
        <w:rPr>
          <w:rFonts w:ascii="Times New Roman" w:eastAsia="Times New Roman" w:hAnsi="Times New Roman"/>
          <w:sz w:val="36"/>
          <w:szCs w:val="20"/>
          <w:lang w:eastAsia="ru-RU"/>
        </w:rPr>
        <w:t xml:space="preserve">, 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то получатся точки</w:t>
      </w:r>
      <w:r w:rsidRPr="00E77E81">
        <w:rPr>
          <w:rFonts w:ascii="Times New Roman" w:eastAsia="Times New Roman" w:hAnsi="Times New Roman"/>
          <w:sz w:val="36"/>
          <w:szCs w:val="20"/>
          <w:lang w:eastAsia="ru-RU"/>
        </w:rPr>
        <w:t xml:space="preserve"> </w:t>
      </w:r>
      <w:r w:rsidRPr="00E77E81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276" w:dyaOrig="456">
          <v:shape id="_x0000_i1040" type="#_x0000_t75" style="width:13.85pt;height:23.1pt" o:ole="">
            <v:imagedata r:id="rId32" o:title=""/>
          </v:shape>
          <o:OLEObject Type="Embed" ProgID="Equation.2" ShapeID="_x0000_i1040" DrawAspect="Content" ObjectID="_1646900679" r:id="rId35"/>
        </w:objec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-3</w:t>
      </w:r>
      <w:r w:rsidRPr="00E77E81">
        <w:rPr>
          <w:rFonts w:ascii="Times New Roman" w:eastAsia="Times New Roman" w:hAnsi="Times New Roman"/>
          <w:sz w:val="36"/>
          <w:szCs w:val="20"/>
          <w:lang w:eastAsia="ru-RU"/>
        </w:rPr>
        <w:sym w:font="Symbol" w:char="F073"/>
      </w:r>
      <w:r w:rsidRPr="00E77E81">
        <w:rPr>
          <w:rFonts w:ascii="Times New Roman" w:eastAsia="Times New Roman" w:hAnsi="Times New Roman"/>
          <w:sz w:val="36"/>
          <w:szCs w:val="20"/>
          <w:lang w:eastAsia="ru-RU"/>
        </w:rPr>
        <w:t xml:space="preserve"> 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и</w:t>
      </w:r>
      <w:r w:rsidRPr="00E77E81">
        <w:rPr>
          <w:rFonts w:ascii="Times New Roman" w:eastAsia="Times New Roman" w:hAnsi="Times New Roman"/>
          <w:sz w:val="36"/>
          <w:szCs w:val="20"/>
          <w:lang w:eastAsia="ru-RU"/>
        </w:rPr>
        <w:t xml:space="preserve"> </w:t>
      </w:r>
      <w:r w:rsidRPr="00E77E81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276" w:dyaOrig="456">
          <v:shape id="_x0000_i1041" type="#_x0000_t75" style="width:13.85pt;height:23.1pt" o:ole="">
            <v:imagedata r:id="rId32" o:title=""/>
          </v:shape>
          <o:OLEObject Type="Embed" ProgID="Equation.2" ShapeID="_x0000_i1041" DrawAspect="Content" ObjectID="_1646900680" r:id="rId36"/>
        </w:objec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+3</w:t>
      </w:r>
      <w:r w:rsidRPr="00E77E81">
        <w:rPr>
          <w:rFonts w:ascii="Times New Roman" w:eastAsia="Times New Roman" w:hAnsi="Times New Roman"/>
          <w:sz w:val="36"/>
          <w:szCs w:val="20"/>
          <w:lang w:eastAsia="ru-RU"/>
        </w:rPr>
        <w:sym w:font="Symbol" w:char="F073"/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; их можно выразить в нормированной форме: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position w:val="-24"/>
          <w:sz w:val="28"/>
          <w:szCs w:val="20"/>
          <w:lang w:eastAsia="ru-RU"/>
        </w:rPr>
        <w:object w:dxaOrig="3384" w:dyaOrig="864">
          <v:shape id="_x0000_i1042" type="#_x0000_t75" style="width:168.9pt;height:43.4pt" o:ole="">
            <v:imagedata r:id="rId37" o:title=""/>
          </v:shape>
          <o:OLEObject Type="Embed" ProgID="Equation.2" ShapeID="_x0000_i1042" DrawAspect="Content" ObjectID="_1646900681" r:id="rId38"/>
        </w:objec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</w:t>
      </w:r>
      <w:r w:rsidRPr="00E77E81">
        <w:rPr>
          <w:rFonts w:ascii="Times New Roman" w:eastAsia="Times New Roman" w:hAnsi="Times New Roman"/>
          <w:position w:val="-24"/>
          <w:sz w:val="28"/>
          <w:szCs w:val="20"/>
          <w:lang w:eastAsia="ru-RU"/>
        </w:rPr>
        <w:object w:dxaOrig="2628" w:dyaOrig="864">
          <v:shape id="_x0000_i1043" type="#_x0000_t75" style="width:131.1pt;height:43.4pt" o:ole="">
            <v:imagedata r:id="rId39" o:title=""/>
          </v:shape>
          <o:OLEObject Type="Embed" ProgID="Equation.3" ShapeID="_x0000_i1043" DrawAspect="Content" ObjectID="_1646900682" r:id="rId40"/>
        </w:objec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Сделаем анализ вероятности того, что значение случайной величины окажется в данном интервале, т.е. между </w:t>
      </w:r>
      <w:r w:rsidRPr="00E77E81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276" w:dyaOrig="456">
          <v:shape id="_x0000_i1044" type="#_x0000_t75" style="width:13.85pt;height:23.1pt" o:ole="">
            <v:imagedata r:id="rId32" o:title=""/>
          </v:shape>
          <o:OLEObject Type="Embed" ProgID="Equation.2" ShapeID="_x0000_i1044" DrawAspect="Content" ObjectID="_1646900683" r:id="rId41"/>
        </w:objec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-3</w:t>
      </w:r>
      <w:r w:rsidRPr="00E77E81">
        <w:rPr>
          <w:rFonts w:ascii="Times New Roman" w:eastAsia="Times New Roman" w:hAnsi="Times New Roman"/>
          <w:sz w:val="36"/>
          <w:szCs w:val="20"/>
          <w:lang w:eastAsia="ru-RU"/>
        </w:rPr>
        <w:sym w:font="Symbol" w:char="F073"/>
      </w:r>
      <w:r w:rsidRPr="00E77E81">
        <w:rPr>
          <w:rFonts w:ascii="Times New Roman" w:eastAsia="Times New Roman" w:hAnsi="Times New Roman"/>
          <w:sz w:val="36"/>
          <w:szCs w:val="20"/>
          <w:lang w:eastAsia="ru-RU"/>
        </w:rPr>
        <w:t xml:space="preserve"> 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и</w:t>
      </w:r>
      <w:r w:rsidRPr="00E77E81">
        <w:rPr>
          <w:rFonts w:ascii="Times New Roman" w:eastAsia="Times New Roman" w:hAnsi="Times New Roman"/>
          <w:sz w:val="36"/>
          <w:szCs w:val="20"/>
          <w:lang w:eastAsia="ru-RU"/>
        </w:rPr>
        <w:t xml:space="preserve"> </w:t>
      </w:r>
      <w:r w:rsidRPr="00E77E81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276" w:dyaOrig="456">
          <v:shape id="_x0000_i1045" type="#_x0000_t75" style="width:13.85pt;height:23.1pt" o:ole="">
            <v:imagedata r:id="rId32" o:title=""/>
          </v:shape>
          <o:OLEObject Type="Embed" ProgID="Equation.2" ShapeID="_x0000_i1045" DrawAspect="Content" ObjectID="_1646900684" r:id="rId42"/>
        </w:objec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+3</w:t>
      </w:r>
      <w:r w:rsidRPr="00E77E81">
        <w:rPr>
          <w:rFonts w:ascii="Times New Roman" w:eastAsia="Times New Roman" w:hAnsi="Times New Roman"/>
          <w:sz w:val="36"/>
          <w:szCs w:val="20"/>
          <w:lang w:eastAsia="ru-RU"/>
        </w:rPr>
        <w:sym w:font="Symbol" w:char="F073"/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. Как утверждает теория вероятностей, искомая вероятность приближенно равна: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proofErr w:type="gramStart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Р</w:t>
      </w:r>
      <w:proofErr w:type="gramEnd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(х</w:t>
      </w:r>
      <w:r w:rsidRPr="00E77E81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 xml:space="preserve">1 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sym w:font="Symbol" w:char="F0A3"/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Х 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sym w:font="Symbol" w:char="F0A3"/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х</w:t>
      </w:r>
      <w:r w:rsidRPr="00E77E81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2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) 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sym w:font="Symbol" w:char="F0BB"/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</w:t>
      </w:r>
      <w:r w:rsidRPr="00E77E81">
        <w:rPr>
          <w:rFonts w:ascii="Times New Roman" w:eastAsia="Times New Roman" w:hAnsi="Times New Roman"/>
          <w:position w:val="-24"/>
          <w:sz w:val="28"/>
          <w:szCs w:val="20"/>
          <w:lang w:eastAsia="ru-RU"/>
        </w:rPr>
        <w:object w:dxaOrig="216" w:dyaOrig="636">
          <v:shape id="_x0000_i1046" type="#_x0000_t75" style="width:11.1pt;height:32.3pt" o:ole="">
            <v:imagedata r:id="rId43" o:title=""/>
          </v:shape>
          <o:OLEObject Type="Embed" ProgID="Equation.2" ShapeID="_x0000_i1046" DrawAspect="Content" ObjectID="_1646900685" r:id="rId44"/>
        </w:objec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[Ф(t</w:t>
      </w:r>
      <w:r w:rsidRPr="00E77E81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2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) - Ф(t</w:t>
      </w:r>
      <w:r w:rsidRPr="00E77E81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1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)] ,        (6.4)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где выражение </w:t>
      </w:r>
      <w:proofErr w:type="gramStart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Р</w:t>
      </w:r>
      <w:proofErr w:type="gramEnd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(х</w:t>
      </w:r>
      <w:r w:rsidRPr="00E77E81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 xml:space="preserve">1 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sym w:font="Symbol" w:char="F0A3"/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Х 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sym w:font="Symbol" w:char="F0A3"/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х</w:t>
      </w:r>
      <w:r w:rsidRPr="00E77E81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2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) обозначает вероятность (Р) того, что случайная величина Х находится между заданными пределами (х</w:t>
      </w:r>
      <w:r w:rsidRPr="00E77E81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 xml:space="preserve">1 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-</w:t>
      </w:r>
      <w:r w:rsidRPr="00E77E81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276" w:dyaOrig="360">
          <v:shape id="_x0000_i1047" type="#_x0000_t75" style="width:13.85pt;height:17.55pt" o:ole="">
            <v:imagedata r:id="rId32" o:title=""/>
          </v:shape>
          <o:OLEObject Type="Embed" ProgID="Equation.2" ShapeID="_x0000_i1047" DrawAspect="Content" ObjectID="_1646900686" r:id="rId45"/>
        </w:objec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) и (х</w:t>
      </w:r>
      <w:r w:rsidRPr="00E77E81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 xml:space="preserve">2 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-</w:t>
      </w:r>
      <w:r w:rsidRPr="00E77E81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276" w:dyaOrig="360">
          <v:shape id="_x0000_i1048" type="#_x0000_t75" style="width:13.85pt;height:17.55pt" o:ole="">
            <v:imagedata r:id="rId32" o:title=""/>
          </v:shape>
          <o:OLEObject Type="Embed" ProgID="Equation.2" ShapeID="_x0000_i1048" DrawAspect="Content" ObjectID="_1646900687" r:id="rId46"/>
        </w:objec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); 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t</w:t>
      </w:r>
      <w:r w:rsidRPr="00E77E81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1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и t</w:t>
      </w:r>
      <w:r w:rsidRPr="00E77E81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2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- нормированное отклонение, т.е. t</w:t>
      </w:r>
      <w:r w:rsidRPr="00E77E81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1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= </w:t>
      </w:r>
      <w:r w:rsidRPr="00E77E81">
        <w:rPr>
          <w:rFonts w:ascii="Times New Roman" w:eastAsia="Times New Roman" w:hAnsi="Times New Roman"/>
          <w:position w:val="-24"/>
          <w:sz w:val="28"/>
          <w:szCs w:val="20"/>
          <w:lang w:eastAsia="ru-RU"/>
        </w:rPr>
        <w:object w:dxaOrig="636" w:dyaOrig="684">
          <v:shape id="_x0000_i1049" type="#_x0000_t75" style="width:32.3pt;height:34.15pt" o:ole="">
            <v:imagedata r:id="rId47" o:title=""/>
          </v:shape>
          <o:OLEObject Type="Embed" ProgID="Equation.2" ShapeID="_x0000_i1049" DrawAspect="Content" ObjectID="_1646900688" r:id="rId48"/>
        </w:objec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и t</w:t>
      </w:r>
      <w:r w:rsidRPr="00E77E81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2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= </w:t>
      </w:r>
      <w:r w:rsidRPr="00E77E81">
        <w:rPr>
          <w:rFonts w:ascii="Times New Roman" w:eastAsia="Times New Roman" w:hAnsi="Times New Roman"/>
          <w:position w:val="-24"/>
          <w:sz w:val="28"/>
          <w:szCs w:val="20"/>
          <w:lang w:eastAsia="ru-RU"/>
        </w:rPr>
        <w:object w:dxaOrig="720" w:dyaOrig="684">
          <v:shape id="_x0000_i1050" type="#_x0000_t75" style="width:36pt;height:34.15pt" o:ole="">
            <v:imagedata r:id="rId49" o:title=""/>
          </v:shape>
          <o:OLEObject Type="Embed" ProgID="Equation.2" ShapeID="_x0000_i1050" DrawAspect="Content" ObjectID="_1646900689" r:id="rId50"/>
        </w:objec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;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символ Ф(t), читаемый как “фи от t”, называется </w:t>
      </w:r>
      <w:r w:rsidRPr="00E77E81">
        <w:rPr>
          <w:rFonts w:ascii="Times New Roman" w:eastAsia="Times New Roman" w:hAnsi="Times New Roman"/>
          <w:b/>
          <w:sz w:val="28"/>
          <w:szCs w:val="20"/>
          <w:lang w:eastAsia="ru-RU"/>
        </w:rPr>
        <w:t>интегральной функцией Лапласа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. Одно из важных свойств этой функции заключается в том, что она стремится к единице, если t неограниченно возрастает. Значения этой функции, соответствующие разным значениям t, и составляют содержание таблицы, приведенной в приложении А.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Подставим в уравнение (6.4) взятые значения t</w:t>
      </w:r>
      <w:r w:rsidRPr="00E77E81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1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и t</w:t>
      </w:r>
      <w:r w:rsidRPr="00E77E81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2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: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proofErr w:type="gramStart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Р</w:t>
      </w:r>
      <w:proofErr w:type="gramEnd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(</w:t>
      </w:r>
      <w:r w:rsidRPr="00E77E81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276" w:dyaOrig="360">
          <v:shape id="_x0000_i1051" type="#_x0000_t75" style="width:13.85pt;height:17.55pt" o:ole="">
            <v:imagedata r:id="rId32" o:title=""/>
          </v:shape>
          <o:OLEObject Type="Embed" ProgID="Equation.2" ShapeID="_x0000_i1051" DrawAspect="Content" ObjectID="_1646900690" r:id="rId51"/>
        </w:objec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- 3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sym w:font="Symbol" w:char="F073"/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) 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sym w:font="Symbol" w:char="F0A3"/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Х 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sym w:font="Symbol" w:char="F0A3"/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(</w:t>
      </w:r>
      <w:r w:rsidRPr="00E77E81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276" w:dyaOrig="360">
          <v:shape id="_x0000_i1052" type="#_x0000_t75" style="width:13.85pt;height:17.55pt" o:ole="">
            <v:imagedata r:id="rId32" o:title=""/>
          </v:shape>
          <o:OLEObject Type="Embed" ProgID="Equation.2" ShapeID="_x0000_i1052" DrawAspect="Content" ObjectID="_1646900691" r:id="rId52"/>
        </w:objec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+ 3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sym w:font="Symbol" w:char="F073"/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) = </w:t>
      </w:r>
      <w:r w:rsidRPr="00E77E81">
        <w:rPr>
          <w:rFonts w:ascii="Times New Roman" w:eastAsia="Times New Roman" w:hAnsi="Times New Roman"/>
          <w:position w:val="-24"/>
          <w:sz w:val="28"/>
          <w:szCs w:val="20"/>
          <w:lang w:eastAsia="ru-RU"/>
        </w:rPr>
        <w:object w:dxaOrig="216" w:dyaOrig="636">
          <v:shape id="_x0000_i1053" type="#_x0000_t75" style="width:11.1pt;height:32.3pt" o:ole="">
            <v:imagedata r:id="rId43" o:title=""/>
          </v:shape>
          <o:OLEObject Type="Embed" ProgID="Equation.2" ShapeID="_x0000_i1053" DrawAspect="Content" ObjectID="_1646900692" r:id="rId53"/>
        </w:objec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[Ф(3) - Ф(-3)] = Ф(3).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Вычисления показывают, что Ф(3) = 0,9973 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sym w:font="Symbol" w:char="F0BB"/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1. Это значит, что случайная величина, распределенная по нормальному закону, практически не отклонится от центра распределения </w:t>
      </w:r>
      <w:r w:rsidRPr="00E77E81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276" w:dyaOrig="360">
          <v:shape id="_x0000_i1054" type="#_x0000_t75" style="width:13.85pt;height:17.55pt" o:ole="">
            <v:imagedata r:id="rId32" o:title=""/>
          </v:shape>
          <o:OLEObject Type="Embed" ProgID="Equation.2" ShapeID="_x0000_i1054" DrawAspect="Content" ObjectID="_1646900693" r:id="rId54"/>
        </w:objec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, т.е. средней арифметической генеральной совокупности, более чем на 3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sym w:font="Symbol" w:char="F073"/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. Этот важный для нас вывод известен в биометрии под названием “правила плюс - минус трех сигм”. Например, мы изучили </w:t>
      </w:r>
      <w:proofErr w:type="spellStart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расперделение</w:t>
      </w:r>
      <w:proofErr w:type="spellEnd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 по весу самцов разновозрастной популяции дикого кабана на территории  некоторого лесхоза. Это </w:t>
      </w:r>
      <w:proofErr w:type="spellStart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распеределение</w:t>
      </w:r>
      <w:proofErr w:type="spellEnd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будет близким к </w:t>
      </w:r>
      <w:proofErr w:type="gramStart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нормальному</w:t>
      </w:r>
      <w:proofErr w:type="gramEnd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. </w:t>
      </w:r>
      <w:proofErr w:type="gramStart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Допустим, что средний вес кабана (</w:t>
      </w:r>
      <w:r w:rsidRPr="00E77E81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276" w:dyaOrig="360">
          <v:shape id="_x0000_i1055" type="#_x0000_t75" style="width:13.85pt;height:17.55pt" o:ole="">
            <v:imagedata r:id="rId32" o:title=""/>
          </v:shape>
          <o:OLEObject Type="Embed" ProgID="Equation.2" ShapeID="_x0000_i1055" DrawAspect="Content" ObjectID="_1646900694" r:id="rId55"/>
        </w:objec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) в этой популяции составил </w:t>
      </w:r>
      <w:smartTag w:uri="urn:schemas-microsoft-com:office:smarttags" w:element="metricconverter">
        <w:smartTagPr>
          <w:attr w:name="ProductID" w:val="100 кг"/>
        </w:smartTagPr>
        <w:r w:rsidRPr="00E77E81">
          <w:rPr>
            <w:rFonts w:ascii="Times New Roman" w:eastAsia="Times New Roman" w:hAnsi="Times New Roman"/>
            <w:sz w:val="28"/>
            <w:szCs w:val="20"/>
            <w:lang w:eastAsia="ru-RU"/>
          </w:rPr>
          <w:t>100 кг</w:t>
        </w:r>
      </w:smartTag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, а среднеквадратическое отклонение (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sym w:font="Symbol" w:char="F073"/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) равно </w:t>
      </w:r>
      <w:smartTag w:uri="urn:schemas-microsoft-com:office:smarttags" w:element="metricconverter">
        <w:smartTagPr>
          <w:attr w:name="ProductID" w:val="30 кг"/>
        </w:smartTagPr>
        <w:r w:rsidRPr="00E77E81">
          <w:rPr>
            <w:rFonts w:ascii="Times New Roman" w:eastAsia="Times New Roman" w:hAnsi="Times New Roman"/>
            <w:sz w:val="28"/>
            <w:szCs w:val="20"/>
            <w:lang w:eastAsia="ru-RU"/>
          </w:rPr>
          <w:t>30 кг</w:t>
        </w:r>
      </w:smartTag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, т.е. изменчивость (коэффициент вариации (</w:t>
      </w:r>
      <w:r w:rsidRPr="00E77E81">
        <w:rPr>
          <w:rFonts w:ascii="Times New Roman" w:eastAsia="Times New Roman" w:hAnsi="Times New Roman"/>
          <w:sz w:val="28"/>
          <w:szCs w:val="20"/>
          <w:lang w:val="en-US" w:eastAsia="ru-RU"/>
        </w:rPr>
        <w:t>V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) </w:t>
      </w: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lastRenderedPageBreak/>
        <w:t xml:space="preserve">составит 30%. Тогда 68% кабанов будут иметь вес от 70 до </w:t>
      </w:r>
      <w:smartTag w:uri="urn:schemas-microsoft-com:office:smarttags" w:element="metricconverter">
        <w:smartTagPr>
          <w:attr w:name="ProductID" w:val="130 кг"/>
        </w:smartTagPr>
        <w:r w:rsidRPr="00E77E81">
          <w:rPr>
            <w:rFonts w:ascii="Times New Roman" w:eastAsia="Times New Roman" w:hAnsi="Times New Roman"/>
            <w:sz w:val="28"/>
            <w:szCs w:val="20"/>
            <w:lang w:eastAsia="ru-RU"/>
          </w:rPr>
          <w:t>130 кг</w:t>
        </w:r>
      </w:smartTag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.</w:t>
      </w:r>
      <w:proofErr w:type="gramEnd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Для 95% этой популяции колебания составят от 40 до </w:t>
      </w:r>
      <w:smartTag w:uri="urn:schemas-microsoft-com:office:smarttags" w:element="metricconverter">
        <w:smartTagPr>
          <w:attr w:name="ProductID" w:val="160 кг"/>
        </w:smartTagPr>
        <w:r w:rsidRPr="00E77E81">
          <w:rPr>
            <w:rFonts w:ascii="Times New Roman" w:eastAsia="Times New Roman" w:hAnsi="Times New Roman"/>
            <w:sz w:val="28"/>
            <w:szCs w:val="20"/>
            <w:lang w:eastAsia="ru-RU"/>
          </w:rPr>
          <w:t>160 кг</w:t>
        </w:r>
      </w:smartTag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. При анализе 99,9% этой популяции вес отдельных особей может колебаться  от 10 до </w:t>
      </w:r>
      <w:smartTag w:uri="urn:schemas-microsoft-com:office:smarttags" w:element="metricconverter">
        <w:smartTagPr>
          <w:attr w:name="ProductID" w:val="190 кг"/>
        </w:smartTagPr>
        <w:r w:rsidRPr="00E77E81">
          <w:rPr>
            <w:rFonts w:ascii="Times New Roman" w:eastAsia="Times New Roman" w:hAnsi="Times New Roman"/>
            <w:sz w:val="28"/>
            <w:szCs w:val="20"/>
            <w:lang w:eastAsia="ru-RU"/>
          </w:rPr>
          <w:t>190 кг</w:t>
        </w:r>
      </w:smartTag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. Только очень малое их количество (отдельные особи) могут иметь больший вес, что мы и наблюдаем в природе (рис. 6.4).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noProof/>
          <w:sz w:val="28"/>
          <w:szCs w:val="20"/>
          <w:lang w:eastAsia="ru-RU"/>
        </w:rPr>
        <w:drawing>
          <wp:inline distT="0" distB="0" distL="0" distR="0" wp14:anchorId="402A0382" wp14:editId="26D57BCD">
            <wp:extent cx="3638550" cy="1630680"/>
            <wp:effectExtent l="0" t="0" r="0" b="762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163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Рисунок 6.4 Графическая иллюстрация “правила 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плюс - минус трех сигм”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Можно  отметить, что в процессе статистического анализа </w:t>
      </w:r>
      <w:proofErr w:type="spellStart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лесоводственной</w:t>
      </w:r>
      <w:proofErr w:type="spellEnd"/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информации, относящейся к некоторой случайной величине, теорию распределений применяют в двух основных направлениях:</w:t>
      </w:r>
    </w:p>
    <w:p w:rsidR="00E77E81" w:rsidRPr="00E77E81" w:rsidRDefault="00E77E81" w:rsidP="00E77E81">
      <w:pPr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left="709" w:hanging="142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 Как основу статистических выводов, в частности, оценки параметров и проверки статистических гипотез;</w:t>
      </w:r>
    </w:p>
    <w:p w:rsidR="00E77E81" w:rsidRPr="00E77E81" w:rsidRDefault="00E77E81" w:rsidP="00E77E81">
      <w:pPr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left="709" w:hanging="142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 xml:space="preserve">  Как средство и метод представления выборочных распределений.</w:t>
      </w:r>
    </w:p>
    <w:p w:rsidR="00E77E81" w:rsidRPr="00E77E81" w:rsidRDefault="00E77E81" w:rsidP="00E77E81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77E81">
        <w:rPr>
          <w:rFonts w:ascii="Times New Roman" w:eastAsia="Times New Roman" w:hAnsi="Times New Roman"/>
          <w:sz w:val="28"/>
          <w:szCs w:val="20"/>
          <w:lang w:eastAsia="ru-RU"/>
        </w:rPr>
        <w:t>В первом случае часто основополагающую роль играет нормальный закон распределения, во втором - в качестве модели можно применять самые различные типы распределений.</w:t>
      </w:r>
    </w:p>
    <w:p w:rsidR="004B7C93" w:rsidRPr="00EF166B" w:rsidRDefault="004B7C93" w:rsidP="00EF166B">
      <w:pPr>
        <w:spacing w:after="0" w:line="240" w:lineRule="auto"/>
        <w:ind w:firstLine="709"/>
        <w:jc w:val="both"/>
      </w:pPr>
    </w:p>
    <w:sectPr w:rsidR="004B7C93" w:rsidRPr="00EF16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5BA5" w:rsidRDefault="00965BA5" w:rsidP="008231FA">
      <w:pPr>
        <w:spacing w:after="0" w:line="240" w:lineRule="auto"/>
      </w:pPr>
      <w:r>
        <w:separator/>
      </w:r>
    </w:p>
  </w:endnote>
  <w:endnote w:type="continuationSeparator" w:id="0">
    <w:p w:rsidR="00965BA5" w:rsidRDefault="00965BA5" w:rsidP="008231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5BA5" w:rsidRDefault="00965BA5" w:rsidP="008231FA">
      <w:pPr>
        <w:spacing w:after="0" w:line="240" w:lineRule="auto"/>
      </w:pPr>
      <w:r>
        <w:separator/>
      </w:r>
    </w:p>
  </w:footnote>
  <w:footnote w:type="continuationSeparator" w:id="0">
    <w:p w:rsidR="00965BA5" w:rsidRDefault="00965BA5" w:rsidP="008231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31BF9"/>
    <w:multiLevelType w:val="hybridMultilevel"/>
    <w:tmpl w:val="89AE53B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11E6405"/>
    <w:multiLevelType w:val="multilevel"/>
    <w:tmpl w:val="8AAEBD0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2">
    <w:nsid w:val="1B9903D6"/>
    <w:multiLevelType w:val="multilevel"/>
    <w:tmpl w:val="C87AA626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3">
    <w:nsid w:val="20CF61D8"/>
    <w:multiLevelType w:val="hybridMultilevel"/>
    <w:tmpl w:val="6B5E5098"/>
    <w:lvl w:ilvl="0" w:tplc="04190001">
      <w:start w:val="1"/>
      <w:numFmt w:val="bullet"/>
      <w:lvlText w:val=""/>
      <w:lvlJc w:val="left"/>
      <w:pPr>
        <w:tabs>
          <w:tab w:val="num" w:pos="2367"/>
        </w:tabs>
        <w:ind w:left="2367" w:hanging="360"/>
      </w:pPr>
      <w:rPr>
        <w:rFonts w:ascii="Symbol" w:hAnsi="Symbol" w:hint="default"/>
      </w:rPr>
    </w:lvl>
    <w:lvl w:ilvl="1" w:tplc="D7E61790">
      <w:start w:val="1"/>
      <w:numFmt w:val="bullet"/>
      <w:lvlText w:val=""/>
      <w:lvlJc w:val="left"/>
      <w:pPr>
        <w:tabs>
          <w:tab w:val="num" w:pos="2044"/>
        </w:tabs>
        <w:ind w:left="1080" w:firstLine="567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3807"/>
        </w:tabs>
        <w:ind w:left="380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527"/>
        </w:tabs>
        <w:ind w:left="452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5247"/>
        </w:tabs>
        <w:ind w:left="524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967"/>
        </w:tabs>
        <w:ind w:left="596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687"/>
        </w:tabs>
        <w:ind w:left="668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7407"/>
        </w:tabs>
        <w:ind w:left="740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8127"/>
        </w:tabs>
        <w:ind w:left="8127" w:hanging="360"/>
      </w:pPr>
      <w:rPr>
        <w:rFonts w:ascii="Wingdings" w:hAnsi="Wingdings" w:hint="default"/>
      </w:rPr>
    </w:lvl>
  </w:abstractNum>
  <w:abstractNum w:abstractNumId="4">
    <w:nsid w:val="3C9D048A"/>
    <w:multiLevelType w:val="hybridMultilevel"/>
    <w:tmpl w:val="89C2804E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48552681"/>
    <w:multiLevelType w:val="multilevel"/>
    <w:tmpl w:val="BD109DA0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</w:lvl>
    <w:lvl w:ilvl="1">
      <w:start w:val="1"/>
      <w:numFmt w:val="decimal"/>
      <w:lvlText w:val="%1.%2"/>
      <w:lvlJc w:val="left"/>
      <w:pPr>
        <w:tabs>
          <w:tab w:val="num" w:pos="435"/>
        </w:tabs>
        <w:ind w:left="435" w:hanging="435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6">
    <w:nsid w:val="4AB077B7"/>
    <w:multiLevelType w:val="hybridMultilevel"/>
    <w:tmpl w:val="F820712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6B2D70F0"/>
    <w:multiLevelType w:val="multilevel"/>
    <w:tmpl w:val="CFE2A5F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>
    <w:nsid w:val="6DD30C2B"/>
    <w:multiLevelType w:val="hybridMultilevel"/>
    <w:tmpl w:val="EF7AD70A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9">
      <w:start w:val="1"/>
      <w:numFmt w:val="bullet"/>
      <w:lvlText w:val=""/>
      <w:lvlJc w:val="left"/>
      <w:pPr>
        <w:tabs>
          <w:tab w:val="num" w:pos="2007"/>
        </w:tabs>
        <w:ind w:left="2007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9">
    <w:nsid w:val="7D5166AD"/>
    <w:multiLevelType w:val="multilevel"/>
    <w:tmpl w:val="941EBD2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9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3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6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CA7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23609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57AB3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27C8A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7C7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88B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1FA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03CB"/>
    <w:rsid w:val="00955CE7"/>
    <w:rsid w:val="00957586"/>
    <w:rsid w:val="00964717"/>
    <w:rsid w:val="00964EB0"/>
    <w:rsid w:val="00965BA5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06E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B7CA7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B49A5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77E81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166B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CA7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8231FA"/>
    <w:pPr>
      <w:keepNext/>
      <w:suppressAutoHyphens/>
      <w:overflowPunct w:val="0"/>
      <w:autoSpaceDE w:val="0"/>
      <w:autoSpaceDN w:val="0"/>
      <w:adjustRightInd w:val="0"/>
      <w:spacing w:after="0" w:line="240" w:lineRule="auto"/>
      <w:jc w:val="center"/>
      <w:outlineLvl w:val="0"/>
    </w:pPr>
    <w:rPr>
      <w:rFonts w:ascii="Times New Roman" w:eastAsia="Times New Roman" w:hAnsi="Times New Roman"/>
      <w:b/>
      <w:kern w:val="28"/>
      <w:sz w:val="24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8231FA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1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8231FA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2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B7CA7"/>
    <w:pPr>
      <w:ind w:left="720"/>
      <w:contextualSpacing/>
    </w:pPr>
  </w:style>
  <w:style w:type="paragraph" w:styleId="a4">
    <w:name w:val="Balloon Text"/>
    <w:basedOn w:val="a"/>
    <w:link w:val="a5"/>
    <w:semiHidden/>
    <w:unhideWhenUsed/>
    <w:rsid w:val="007727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semiHidden/>
    <w:rsid w:val="007727C7"/>
    <w:rPr>
      <w:rFonts w:ascii="Tahoma" w:eastAsia="Calibri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8231FA"/>
    <w:rPr>
      <w:rFonts w:ascii="Times New Roman" w:eastAsia="Times New Roman" w:hAnsi="Times New Roman" w:cs="Times New Roman"/>
      <w:b/>
      <w:kern w:val="28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8231F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semiHidden/>
    <w:rsid w:val="008231F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231FA"/>
  </w:style>
  <w:style w:type="numbering" w:customStyle="1" w:styleId="110">
    <w:name w:val="Нет списка11"/>
    <w:next w:val="a2"/>
    <w:uiPriority w:val="99"/>
    <w:semiHidden/>
    <w:unhideWhenUsed/>
    <w:rsid w:val="008231FA"/>
  </w:style>
  <w:style w:type="paragraph" w:styleId="12">
    <w:name w:val="toc 1"/>
    <w:basedOn w:val="a"/>
    <w:next w:val="a"/>
    <w:autoRedefine/>
    <w:semiHidden/>
    <w:unhideWhenUsed/>
    <w:rsid w:val="008231FA"/>
    <w:pPr>
      <w:tabs>
        <w:tab w:val="right" w:leader="dot" w:pos="9355"/>
      </w:tabs>
      <w:overflowPunct w:val="0"/>
      <w:autoSpaceDE w:val="0"/>
      <w:autoSpaceDN w:val="0"/>
      <w:adjustRightInd w:val="0"/>
      <w:spacing w:before="360" w:after="0" w:line="240" w:lineRule="auto"/>
    </w:pPr>
    <w:rPr>
      <w:rFonts w:ascii="Times New Roman" w:eastAsia="Times New Roman" w:hAnsi="Times New Roman"/>
      <w:b/>
      <w:caps/>
      <w:sz w:val="28"/>
      <w:szCs w:val="20"/>
      <w:lang w:eastAsia="ru-RU"/>
    </w:rPr>
  </w:style>
  <w:style w:type="paragraph" w:styleId="21">
    <w:name w:val="toc 2"/>
    <w:basedOn w:val="a"/>
    <w:next w:val="a"/>
    <w:autoRedefine/>
    <w:semiHidden/>
    <w:unhideWhenUsed/>
    <w:rsid w:val="008231FA"/>
    <w:pPr>
      <w:tabs>
        <w:tab w:val="right" w:leader="dot" w:pos="9355"/>
      </w:tabs>
      <w:overflowPunct w:val="0"/>
      <w:autoSpaceDE w:val="0"/>
      <w:autoSpaceDN w:val="0"/>
      <w:adjustRightInd w:val="0"/>
      <w:spacing w:before="240" w:after="0" w:line="240" w:lineRule="auto"/>
      <w:ind w:left="280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a6">
    <w:name w:val="footnote text"/>
    <w:basedOn w:val="a"/>
    <w:link w:val="a7"/>
    <w:semiHidden/>
    <w:unhideWhenUsed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7">
    <w:name w:val="Текст сноски Знак"/>
    <w:basedOn w:val="a0"/>
    <w:link w:val="a6"/>
    <w:semiHidden/>
    <w:rsid w:val="008231F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header"/>
    <w:basedOn w:val="a"/>
    <w:link w:val="a9"/>
    <w:uiPriority w:val="99"/>
    <w:unhideWhenUsed/>
    <w:rsid w:val="008231FA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footer"/>
    <w:basedOn w:val="a"/>
    <w:link w:val="ab"/>
    <w:unhideWhenUsed/>
    <w:rsid w:val="008231FA"/>
    <w:pPr>
      <w:tabs>
        <w:tab w:val="center" w:pos="4677"/>
        <w:tab w:val="right" w:pos="9355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b">
    <w:name w:val="Нижний колонтитул Знак"/>
    <w:basedOn w:val="a0"/>
    <w:link w:val="aa"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Body Text Indent"/>
    <w:basedOn w:val="a"/>
    <w:link w:val="ad"/>
    <w:semiHidden/>
    <w:unhideWhenUsed/>
    <w:rsid w:val="008231F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d">
    <w:name w:val="Основной текст с отступом Знак"/>
    <w:basedOn w:val="a0"/>
    <w:link w:val="ac"/>
    <w:semiHidden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2">
    <w:name w:val="Body Text Indent 2"/>
    <w:basedOn w:val="a"/>
    <w:link w:val="23"/>
    <w:semiHidden/>
    <w:unhideWhenUsed/>
    <w:rsid w:val="008231FA"/>
    <w:pPr>
      <w:widowControl w:val="0"/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23">
    <w:name w:val="Основной текст с отступом 2 Знак"/>
    <w:basedOn w:val="a0"/>
    <w:link w:val="22"/>
    <w:semiHidden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R2">
    <w:name w:val="FR2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12"/>
      <w:szCs w:val="20"/>
      <w:lang w:eastAsia="ru-RU"/>
    </w:rPr>
  </w:style>
  <w:style w:type="paragraph" w:customStyle="1" w:styleId="FR1">
    <w:name w:val="FR1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FR3">
    <w:name w:val="FR3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16"/>
      <w:szCs w:val="20"/>
      <w:lang w:eastAsia="ru-RU"/>
    </w:rPr>
  </w:style>
  <w:style w:type="character" w:styleId="ae">
    <w:name w:val="footnote reference"/>
    <w:semiHidden/>
    <w:unhideWhenUsed/>
    <w:rsid w:val="008231FA"/>
    <w:rPr>
      <w:vertAlign w:val="superscript"/>
    </w:rPr>
  </w:style>
  <w:style w:type="table" w:styleId="af">
    <w:name w:val="Table Grid"/>
    <w:basedOn w:val="a1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Placeholder Text"/>
    <w:basedOn w:val="a0"/>
    <w:uiPriority w:val="99"/>
    <w:semiHidden/>
    <w:rsid w:val="008231FA"/>
    <w:rPr>
      <w:color w:val="808080"/>
    </w:rPr>
  </w:style>
  <w:style w:type="numbering" w:customStyle="1" w:styleId="24">
    <w:name w:val="Нет списка2"/>
    <w:next w:val="a2"/>
    <w:uiPriority w:val="99"/>
    <w:semiHidden/>
    <w:unhideWhenUsed/>
    <w:rsid w:val="008231F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CA7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8231FA"/>
    <w:pPr>
      <w:keepNext/>
      <w:suppressAutoHyphens/>
      <w:overflowPunct w:val="0"/>
      <w:autoSpaceDE w:val="0"/>
      <w:autoSpaceDN w:val="0"/>
      <w:adjustRightInd w:val="0"/>
      <w:spacing w:after="0" w:line="240" w:lineRule="auto"/>
      <w:jc w:val="center"/>
      <w:outlineLvl w:val="0"/>
    </w:pPr>
    <w:rPr>
      <w:rFonts w:ascii="Times New Roman" w:eastAsia="Times New Roman" w:hAnsi="Times New Roman"/>
      <w:b/>
      <w:kern w:val="28"/>
      <w:sz w:val="24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8231FA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1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8231FA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2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B7CA7"/>
    <w:pPr>
      <w:ind w:left="720"/>
      <w:contextualSpacing/>
    </w:pPr>
  </w:style>
  <w:style w:type="paragraph" w:styleId="a4">
    <w:name w:val="Balloon Text"/>
    <w:basedOn w:val="a"/>
    <w:link w:val="a5"/>
    <w:semiHidden/>
    <w:unhideWhenUsed/>
    <w:rsid w:val="007727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semiHidden/>
    <w:rsid w:val="007727C7"/>
    <w:rPr>
      <w:rFonts w:ascii="Tahoma" w:eastAsia="Calibri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8231FA"/>
    <w:rPr>
      <w:rFonts w:ascii="Times New Roman" w:eastAsia="Times New Roman" w:hAnsi="Times New Roman" w:cs="Times New Roman"/>
      <w:b/>
      <w:kern w:val="28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8231F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semiHidden/>
    <w:rsid w:val="008231F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231FA"/>
  </w:style>
  <w:style w:type="numbering" w:customStyle="1" w:styleId="110">
    <w:name w:val="Нет списка11"/>
    <w:next w:val="a2"/>
    <w:uiPriority w:val="99"/>
    <w:semiHidden/>
    <w:unhideWhenUsed/>
    <w:rsid w:val="008231FA"/>
  </w:style>
  <w:style w:type="paragraph" w:styleId="12">
    <w:name w:val="toc 1"/>
    <w:basedOn w:val="a"/>
    <w:next w:val="a"/>
    <w:autoRedefine/>
    <w:semiHidden/>
    <w:unhideWhenUsed/>
    <w:rsid w:val="008231FA"/>
    <w:pPr>
      <w:tabs>
        <w:tab w:val="right" w:leader="dot" w:pos="9355"/>
      </w:tabs>
      <w:overflowPunct w:val="0"/>
      <w:autoSpaceDE w:val="0"/>
      <w:autoSpaceDN w:val="0"/>
      <w:adjustRightInd w:val="0"/>
      <w:spacing w:before="360" w:after="0" w:line="240" w:lineRule="auto"/>
    </w:pPr>
    <w:rPr>
      <w:rFonts w:ascii="Times New Roman" w:eastAsia="Times New Roman" w:hAnsi="Times New Roman"/>
      <w:b/>
      <w:caps/>
      <w:sz w:val="28"/>
      <w:szCs w:val="20"/>
      <w:lang w:eastAsia="ru-RU"/>
    </w:rPr>
  </w:style>
  <w:style w:type="paragraph" w:styleId="21">
    <w:name w:val="toc 2"/>
    <w:basedOn w:val="a"/>
    <w:next w:val="a"/>
    <w:autoRedefine/>
    <w:semiHidden/>
    <w:unhideWhenUsed/>
    <w:rsid w:val="008231FA"/>
    <w:pPr>
      <w:tabs>
        <w:tab w:val="right" w:leader="dot" w:pos="9355"/>
      </w:tabs>
      <w:overflowPunct w:val="0"/>
      <w:autoSpaceDE w:val="0"/>
      <w:autoSpaceDN w:val="0"/>
      <w:adjustRightInd w:val="0"/>
      <w:spacing w:before="240" w:after="0" w:line="240" w:lineRule="auto"/>
      <w:ind w:left="280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a6">
    <w:name w:val="footnote text"/>
    <w:basedOn w:val="a"/>
    <w:link w:val="a7"/>
    <w:semiHidden/>
    <w:unhideWhenUsed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7">
    <w:name w:val="Текст сноски Знак"/>
    <w:basedOn w:val="a0"/>
    <w:link w:val="a6"/>
    <w:semiHidden/>
    <w:rsid w:val="008231F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header"/>
    <w:basedOn w:val="a"/>
    <w:link w:val="a9"/>
    <w:uiPriority w:val="99"/>
    <w:unhideWhenUsed/>
    <w:rsid w:val="008231FA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footer"/>
    <w:basedOn w:val="a"/>
    <w:link w:val="ab"/>
    <w:unhideWhenUsed/>
    <w:rsid w:val="008231FA"/>
    <w:pPr>
      <w:tabs>
        <w:tab w:val="center" w:pos="4677"/>
        <w:tab w:val="right" w:pos="9355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b">
    <w:name w:val="Нижний колонтитул Знак"/>
    <w:basedOn w:val="a0"/>
    <w:link w:val="aa"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Body Text Indent"/>
    <w:basedOn w:val="a"/>
    <w:link w:val="ad"/>
    <w:semiHidden/>
    <w:unhideWhenUsed/>
    <w:rsid w:val="008231F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d">
    <w:name w:val="Основной текст с отступом Знак"/>
    <w:basedOn w:val="a0"/>
    <w:link w:val="ac"/>
    <w:semiHidden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2">
    <w:name w:val="Body Text Indent 2"/>
    <w:basedOn w:val="a"/>
    <w:link w:val="23"/>
    <w:semiHidden/>
    <w:unhideWhenUsed/>
    <w:rsid w:val="008231FA"/>
    <w:pPr>
      <w:widowControl w:val="0"/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23">
    <w:name w:val="Основной текст с отступом 2 Знак"/>
    <w:basedOn w:val="a0"/>
    <w:link w:val="22"/>
    <w:semiHidden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R2">
    <w:name w:val="FR2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12"/>
      <w:szCs w:val="20"/>
      <w:lang w:eastAsia="ru-RU"/>
    </w:rPr>
  </w:style>
  <w:style w:type="paragraph" w:customStyle="1" w:styleId="FR1">
    <w:name w:val="FR1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FR3">
    <w:name w:val="FR3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16"/>
      <w:szCs w:val="20"/>
      <w:lang w:eastAsia="ru-RU"/>
    </w:rPr>
  </w:style>
  <w:style w:type="character" w:styleId="ae">
    <w:name w:val="footnote reference"/>
    <w:semiHidden/>
    <w:unhideWhenUsed/>
    <w:rsid w:val="008231FA"/>
    <w:rPr>
      <w:vertAlign w:val="superscript"/>
    </w:rPr>
  </w:style>
  <w:style w:type="table" w:styleId="af">
    <w:name w:val="Table Grid"/>
    <w:basedOn w:val="a1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Placeholder Text"/>
    <w:basedOn w:val="a0"/>
    <w:uiPriority w:val="99"/>
    <w:semiHidden/>
    <w:rsid w:val="008231FA"/>
    <w:rPr>
      <w:color w:val="808080"/>
    </w:rPr>
  </w:style>
  <w:style w:type="numbering" w:customStyle="1" w:styleId="24">
    <w:name w:val="Нет списка2"/>
    <w:next w:val="a2"/>
    <w:uiPriority w:val="99"/>
    <w:semiHidden/>
    <w:unhideWhenUsed/>
    <w:rsid w:val="008231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4.wmf"/><Relationship Id="rId21" Type="http://schemas.openxmlformats.org/officeDocument/2006/relationships/image" Target="media/image8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21.bin"/><Relationship Id="rId47" Type="http://schemas.openxmlformats.org/officeDocument/2006/relationships/image" Target="media/image16.wmf"/><Relationship Id="rId50" Type="http://schemas.openxmlformats.org/officeDocument/2006/relationships/oleObject" Target="embeddings/oleObject26.bin"/><Relationship Id="rId55" Type="http://schemas.openxmlformats.org/officeDocument/2006/relationships/oleObject" Target="embeddings/oleObject31.bin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4.bin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4.bin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20.bin"/><Relationship Id="rId54" Type="http://schemas.openxmlformats.org/officeDocument/2006/relationships/oleObject" Target="embeddings/oleObject30.bin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8.bin"/><Relationship Id="rId32" Type="http://schemas.openxmlformats.org/officeDocument/2006/relationships/image" Target="media/image12.wmf"/><Relationship Id="rId37" Type="http://schemas.openxmlformats.org/officeDocument/2006/relationships/image" Target="media/image13.wmf"/><Relationship Id="rId40" Type="http://schemas.openxmlformats.org/officeDocument/2006/relationships/oleObject" Target="embeddings/oleObject19.bin"/><Relationship Id="rId45" Type="http://schemas.openxmlformats.org/officeDocument/2006/relationships/oleObject" Target="embeddings/oleObject23.bin"/><Relationship Id="rId53" Type="http://schemas.openxmlformats.org/officeDocument/2006/relationships/oleObject" Target="embeddings/oleObject29.bin"/><Relationship Id="rId58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image" Target="media/image10.wmf"/><Relationship Id="rId36" Type="http://schemas.openxmlformats.org/officeDocument/2006/relationships/oleObject" Target="embeddings/oleObject17.bin"/><Relationship Id="rId49" Type="http://schemas.openxmlformats.org/officeDocument/2006/relationships/image" Target="media/image17.wmf"/><Relationship Id="rId57" Type="http://schemas.openxmlformats.org/officeDocument/2006/relationships/fontTable" Target="fontTable.xml"/><Relationship Id="rId10" Type="http://schemas.openxmlformats.org/officeDocument/2006/relationships/oleObject" Target="embeddings/oleObject1.bin"/><Relationship Id="rId19" Type="http://schemas.openxmlformats.org/officeDocument/2006/relationships/image" Target="media/image7.wmf"/><Relationship Id="rId31" Type="http://schemas.openxmlformats.org/officeDocument/2006/relationships/image" Target="media/image11.jpeg"/><Relationship Id="rId44" Type="http://schemas.openxmlformats.org/officeDocument/2006/relationships/oleObject" Target="embeddings/oleObject22.bin"/><Relationship Id="rId52" Type="http://schemas.openxmlformats.org/officeDocument/2006/relationships/oleObject" Target="embeddings/oleObject28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oleObject" Target="embeddings/oleObject11.bin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6.bin"/><Relationship Id="rId43" Type="http://schemas.openxmlformats.org/officeDocument/2006/relationships/image" Target="media/image15.wmf"/><Relationship Id="rId48" Type="http://schemas.openxmlformats.org/officeDocument/2006/relationships/oleObject" Target="embeddings/oleObject25.bin"/><Relationship Id="rId56" Type="http://schemas.openxmlformats.org/officeDocument/2006/relationships/image" Target="media/image18.png"/><Relationship Id="rId8" Type="http://schemas.openxmlformats.org/officeDocument/2006/relationships/image" Target="media/image1.jpeg"/><Relationship Id="rId51" Type="http://schemas.openxmlformats.org/officeDocument/2006/relationships/oleObject" Target="embeddings/oleObject27.bin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1625</Words>
  <Characters>9266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2020-03-28T05:27:00Z</dcterms:created>
  <dcterms:modified xsi:type="dcterms:W3CDTF">2020-03-28T05:27:00Z</dcterms:modified>
</cp:coreProperties>
</file>